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9" w:rsidRDefault="0048265E" w:rsidP="002901DB">
      <w:pPr>
        <w:jc w:val="center"/>
      </w:pPr>
      <w:r>
        <w:t>Table 1</w:t>
      </w:r>
      <w:r w:rsidR="0080440B">
        <w:t>:</w:t>
      </w:r>
      <w:r>
        <w:t xml:space="preserve"> ACBSP Accredited Degrees</w:t>
      </w:r>
    </w:p>
    <w:tbl>
      <w:tblPr>
        <w:tblStyle w:val="LightList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8"/>
      </w:tblGrid>
      <w:tr w:rsidR="00A40C35" w:rsidTr="00A4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tabs>
                <w:tab w:val="left" w:pos="3012"/>
                <w:tab w:val="center" w:pos="4680"/>
              </w:tabs>
              <w:jc w:val="center"/>
            </w:pPr>
            <w:r>
              <w:t>ACBSP ACCREDITED DEGREES</w:t>
            </w:r>
          </w:p>
        </w:tc>
      </w:tr>
      <w:tr w:rsidR="00A40C35" w:rsidTr="00A4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Accounting</w:t>
            </w:r>
          </w:p>
        </w:tc>
      </w:tr>
      <w:tr w:rsidR="00A40C35" w:rsidTr="00A40C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Business Education/Information Technology</w:t>
            </w:r>
          </w:p>
        </w:tc>
      </w:tr>
      <w:tr w:rsidR="00A40C35" w:rsidTr="00A4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Business Economics</w:t>
            </w:r>
          </w:p>
        </w:tc>
      </w:tr>
      <w:tr w:rsidR="00A40C35" w:rsidTr="00A40C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Finance</w:t>
            </w:r>
          </w:p>
        </w:tc>
      </w:tr>
      <w:tr w:rsidR="00A40C35" w:rsidTr="00A4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International Business</w:t>
            </w:r>
          </w:p>
        </w:tc>
      </w:tr>
      <w:tr w:rsidR="00A40C35" w:rsidTr="00A40C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Management</w:t>
            </w:r>
          </w:p>
        </w:tc>
      </w:tr>
      <w:tr w:rsidR="00A40C35" w:rsidTr="00A4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Bachelors of Science in Marketing</w:t>
            </w:r>
          </w:p>
        </w:tc>
      </w:tr>
      <w:tr w:rsidR="00A40C35" w:rsidTr="00A40C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Master of Science in Operational Excellence</w:t>
            </w:r>
          </w:p>
        </w:tc>
      </w:tr>
    </w:tbl>
    <w:p w:rsidR="0048265E" w:rsidRDefault="0048265E"/>
    <w:p w:rsidR="0048265E" w:rsidRDefault="0048265E" w:rsidP="002901DB">
      <w:pPr>
        <w:jc w:val="center"/>
      </w:pPr>
      <w:r>
        <w:t>Table 2</w:t>
      </w:r>
      <w:r w:rsidR="0080440B">
        <w:t>:</w:t>
      </w:r>
      <w:r>
        <w:t xml:space="preserve">  </w:t>
      </w:r>
      <w:r w:rsidR="00332554">
        <w:t>Four-</w:t>
      </w:r>
      <w:r w:rsidR="00CA1C0E">
        <w:t xml:space="preserve">Year Business Major </w:t>
      </w:r>
      <w:r w:rsidR="00332554">
        <w:t>Graduation</w:t>
      </w:r>
      <w:r>
        <w:t xml:space="preserve"> Rates</w:t>
      </w: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724"/>
      </w:tblGrid>
      <w:tr w:rsidR="00A40C35" w:rsidTr="00A4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Year</w:t>
            </w:r>
          </w:p>
        </w:tc>
        <w:tc>
          <w:tcPr>
            <w:tcW w:w="0" w:type="auto"/>
          </w:tcPr>
          <w:p w:rsidR="00A40C35" w:rsidRDefault="00A40C35" w:rsidP="00A40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Graduation Rate</w:t>
            </w:r>
          </w:p>
        </w:tc>
      </w:tr>
      <w:tr w:rsidR="00A40C35" w:rsidTr="00A4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A40C35" w:rsidRDefault="00B84E0B" w:rsidP="00A4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  <w:r w:rsidR="00A40C35">
              <w:t>%</w:t>
            </w:r>
            <w:r w:rsidR="002109E5">
              <w:t xml:space="preserve"> (57/99)</w:t>
            </w:r>
            <w:r w:rsidR="00CA1C0E">
              <w:t xml:space="preserve"> </w:t>
            </w:r>
          </w:p>
        </w:tc>
      </w:tr>
      <w:tr w:rsidR="00A40C35" w:rsidTr="00A40C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A40C3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A40C35" w:rsidRDefault="00A40C35" w:rsidP="00A40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  <w:r w:rsidR="002109E5">
              <w:t xml:space="preserve"> (68/98)</w:t>
            </w:r>
          </w:p>
        </w:tc>
      </w:tr>
      <w:tr w:rsidR="008C629E" w:rsidTr="00C0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629E" w:rsidRDefault="008C629E" w:rsidP="00C04EBF">
            <w:pPr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8C629E" w:rsidRDefault="008C629E" w:rsidP="00C04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69%</w:t>
            </w:r>
            <w:r>
              <w:t xml:space="preserve"> (61/8</w:t>
            </w:r>
            <w:r>
              <w:t>8)</w:t>
            </w:r>
          </w:p>
        </w:tc>
      </w:tr>
    </w:tbl>
    <w:p w:rsidR="0048265E" w:rsidRDefault="0048265E"/>
    <w:p w:rsidR="0048265E" w:rsidRDefault="0048265E" w:rsidP="002901DB">
      <w:pPr>
        <w:jc w:val="center"/>
      </w:pPr>
      <w:r>
        <w:t>Table 3</w:t>
      </w:r>
      <w:r w:rsidR="0080440B">
        <w:t>:</w:t>
      </w:r>
      <w:r>
        <w:t xml:space="preserve"> </w:t>
      </w:r>
      <w:r w:rsidR="00CA1C0E">
        <w:t xml:space="preserve"> Business Freshmen to Sophomore </w:t>
      </w:r>
      <w:r>
        <w:t>Retention Rates</w:t>
      </w: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592"/>
      </w:tblGrid>
      <w:tr w:rsidR="00A40C35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3F4DE5">
            <w:pPr>
              <w:jc w:val="center"/>
            </w:pPr>
            <w:r>
              <w:t>Year</w:t>
            </w:r>
          </w:p>
        </w:tc>
        <w:tc>
          <w:tcPr>
            <w:tcW w:w="0" w:type="auto"/>
          </w:tcPr>
          <w:p w:rsidR="00A40C35" w:rsidRDefault="00B84E0B" w:rsidP="003F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Retention Rate</w:t>
            </w:r>
          </w:p>
        </w:tc>
      </w:tr>
      <w:tr w:rsidR="00A40C35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3F4DE5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A40C35" w:rsidRDefault="00B84E0B" w:rsidP="00210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  <w:r w:rsidR="00A40C35">
              <w:t>%</w:t>
            </w:r>
            <w:r w:rsidR="002109E5">
              <w:t xml:space="preserve"> (81/117)</w:t>
            </w:r>
          </w:p>
        </w:tc>
      </w:tr>
      <w:tr w:rsidR="00A40C35" w:rsidTr="003F4D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C35" w:rsidRDefault="00A40C35" w:rsidP="003F4DE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A40C35" w:rsidRDefault="00B84E0B" w:rsidP="003F4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  <w:r w:rsidR="00A40C35">
              <w:t>%</w:t>
            </w:r>
            <w:r w:rsidR="002109E5">
              <w:t xml:space="preserve"> (75/98)</w:t>
            </w:r>
          </w:p>
        </w:tc>
      </w:tr>
      <w:tr w:rsidR="008C629E" w:rsidTr="00C0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629E" w:rsidRDefault="008C629E" w:rsidP="00C04EBF">
            <w:pPr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8C629E" w:rsidRDefault="008C629E" w:rsidP="00C04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  <w:r>
              <w:t>%</w:t>
            </w:r>
            <w:r>
              <w:t xml:space="preserve"> (63/8</w:t>
            </w:r>
            <w:r>
              <w:t>8)</w:t>
            </w:r>
          </w:p>
        </w:tc>
      </w:tr>
    </w:tbl>
    <w:p w:rsidR="0048265E" w:rsidRDefault="0048265E"/>
    <w:p w:rsidR="00ED49EB" w:rsidRDefault="00ED49EB" w:rsidP="002901DB">
      <w:pPr>
        <w:jc w:val="center"/>
      </w:pPr>
      <w:r>
        <w:t>Table 4: SVC McKenna School Business Graduates Reporting Successful Placement within Six Months of Graduation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D49EB" w:rsidTr="006D73F4">
        <w:tc>
          <w:tcPr>
            <w:tcW w:w="1596" w:type="dxa"/>
            <w:tcBorders>
              <w:bottom w:val="nil"/>
            </w:tcBorders>
            <w:shd w:val="clear" w:color="auto" w:fill="000000" w:themeFill="text1"/>
          </w:tcPr>
          <w:p w:rsidR="00ED49EB" w:rsidRPr="00ED49EB" w:rsidRDefault="00ED49EB" w:rsidP="004500F3">
            <w:pPr>
              <w:jc w:val="center"/>
              <w:rPr>
                <w:b/>
                <w:color w:val="FFFFFF" w:themeColor="background1"/>
              </w:rPr>
            </w:pPr>
            <w:r w:rsidRPr="00ED49EB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000000" w:themeFill="text1"/>
          </w:tcPr>
          <w:p w:rsidR="00ED49EB" w:rsidRPr="00ED49EB" w:rsidRDefault="00ED49EB" w:rsidP="004500F3">
            <w:pPr>
              <w:jc w:val="center"/>
              <w:rPr>
                <w:b/>
                <w:color w:val="FFFFFF" w:themeColor="background1"/>
              </w:rPr>
            </w:pPr>
            <w:r w:rsidRPr="00ED49EB">
              <w:rPr>
                <w:b/>
                <w:color w:val="FFFFFF" w:themeColor="background1"/>
              </w:rPr>
              <w:t>Successful Placement*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000000" w:themeFill="text1"/>
          </w:tcPr>
          <w:p w:rsidR="00ED49EB" w:rsidRPr="00ED49EB" w:rsidRDefault="00ED49EB" w:rsidP="004500F3">
            <w:pPr>
              <w:jc w:val="center"/>
              <w:rPr>
                <w:b/>
                <w:color w:val="FFFFFF" w:themeColor="background1"/>
              </w:rPr>
            </w:pPr>
            <w:r w:rsidRPr="00ED49EB">
              <w:rPr>
                <w:b/>
                <w:color w:val="FFFFFF" w:themeColor="background1"/>
              </w:rPr>
              <w:t xml:space="preserve">Response </w:t>
            </w:r>
            <w:r w:rsidRPr="00ED49EB">
              <w:rPr>
                <w:b/>
                <w:color w:val="FFFFFF" w:themeColor="background1"/>
              </w:rPr>
              <w:br/>
              <w:t>Rate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000000" w:themeFill="text1"/>
          </w:tcPr>
          <w:p w:rsidR="00ED49EB" w:rsidRPr="00ED49EB" w:rsidRDefault="00ED49EB" w:rsidP="004500F3">
            <w:pPr>
              <w:jc w:val="center"/>
              <w:rPr>
                <w:b/>
                <w:color w:val="FFFFFF" w:themeColor="background1"/>
              </w:rPr>
            </w:pPr>
            <w:r w:rsidRPr="00ED49EB">
              <w:rPr>
                <w:b/>
                <w:color w:val="FFFFFF" w:themeColor="background1"/>
              </w:rPr>
              <w:t>Number of Graduates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000000" w:themeFill="text1"/>
          </w:tcPr>
          <w:p w:rsidR="00ED49EB" w:rsidRPr="00ED49EB" w:rsidRDefault="00ED49EB" w:rsidP="004500F3">
            <w:pPr>
              <w:jc w:val="center"/>
              <w:rPr>
                <w:b/>
                <w:color w:val="FFFFFF" w:themeColor="background1"/>
              </w:rPr>
            </w:pPr>
            <w:r w:rsidRPr="00ED49EB">
              <w:rPr>
                <w:b/>
                <w:color w:val="FFFFFF" w:themeColor="background1"/>
              </w:rPr>
              <w:t>Median Starting Salary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000000" w:themeFill="text1"/>
          </w:tcPr>
          <w:p w:rsidR="00ED49EB" w:rsidRPr="00ED49EB" w:rsidRDefault="00ED49EB" w:rsidP="004500F3">
            <w:pPr>
              <w:jc w:val="center"/>
              <w:rPr>
                <w:b/>
                <w:color w:val="FFFFFF" w:themeColor="background1"/>
              </w:rPr>
            </w:pPr>
            <w:r w:rsidRPr="00ED49EB">
              <w:rPr>
                <w:b/>
                <w:color w:val="FFFFFF" w:themeColor="background1"/>
              </w:rPr>
              <w:t>Average Starting Salary</w:t>
            </w:r>
          </w:p>
        </w:tc>
      </w:tr>
      <w:tr w:rsidR="00ED49EB" w:rsidTr="006D73F4"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2018**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ED49EB" w:rsidRDefault="008C629E" w:rsidP="004500F3">
            <w:pPr>
              <w:jc w:val="center"/>
            </w:pPr>
            <w:r>
              <w:t>99.1</w:t>
            </w:r>
            <w:r w:rsidR="00ED49EB">
              <w:t>%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ED49EB" w:rsidRDefault="008C629E" w:rsidP="004500F3">
            <w:pPr>
              <w:jc w:val="center"/>
            </w:pPr>
            <w:r>
              <w:t>96.5</w:t>
            </w:r>
            <w:r w:rsidR="00ED49EB">
              <w:t>%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ED49EB" w:rsidRDefault="008C629E" w:rsidP="004500F3">
            <w:pPr>
              <w:jc w:val="center"/>
            </w:pPr>
            <w:r>
              <w:t>113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$53,500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ED49EB" w:rsidRDefault="00577528" w:rsidP="004500F3">
            <w:pPr>
              <w:jc w:val="center"/>
            </w:pPr>
            <w:r>
              <w:t>$54,066</w:t>
            </w:r>
            <w:bookmarkStart w:id="0" w:name="_GoBack"/>
            <w:bookmarkEnd w:id="0"/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100.0%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94.8%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$48,000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$48,786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100.0%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92.4%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79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$46,000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$47,891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100.0%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95.6%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$45,000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$45,166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100.0%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94.0%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67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$47,500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$46,667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98.9%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96.8%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$43,000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$42,408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ED49EB" w:rsidP="004500F3">
            <w:pPr>
              <w:jc w:val="center"/>
            </w:pPr>
            <w:r>
              <w:t>96.8%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92.1%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101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$40,000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$41,033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500F3" w:rsidRDefault="004500F3" w:rsidP="004500F3">
            <w:pPr>
              <w:jc w:val="center"/>
            </w:pPr>
            <w:r>
              <w:t>96.6%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86.3%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102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$44,000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$44,163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96.6%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87.3%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102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$38,000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$37,292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96.0%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91.7%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109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$40,000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$41,127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98.3%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93.5%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62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$39,665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$39,940</w:t>
            </w:r>
          </w:p>
        </w:tc>
      </w:tr>
      <w:tr w:rsidR="00ED49EB" w:rsidTr="006D73F4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Pr="00ED49EB" w:rsidRDefault="00ED49EB" w:rsidP="004500F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98.5%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94.4%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72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$41,000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49EB" w:rsidRDefault="004500F3" w:rsidP="004500F3">
            <w:pPr>
              <w:jc w:val="center"/>
            </w:pPr>
            <w:r>
              <w:t>$39,517</w:t>
            </w:r>
          </w:p>
        </w:tc>
      </w:tr>
    </w:tbl>
    <w:p w:rsidR="006D73F4" w:rsidRDefault="006D73F4" w:rsidP="006D73F4">
      <w:pPr>
        <w:spacing w:after="0"/>
        <w:rPr>
          <w:sz w:val="16"/>
          <w:szCs w:val="16"/>
        </w:rPr>
      </w:pPr>
      <w:r w:rsidRPr="006D73F4">
        <w:rPr>
          <w:sz w:val="16"/>
          <w:szCs w:val="16"/>
        </w:rPr>
        <w:t>*</w:t>
      </w:r>
      <w:r>
        <w:rPr>
          <w:sz w:val="16"/>
          <w:szCs w:val="16"/>
        </w:rPr>
        <w:t xml:space="preserve"> Successful (responded to SVC surveys and were actively searching) employment and graduate placements within six months of graduation</w:t>
      </w:r>
    </w:p>
    <w:p w:rsidR="006D73F4" w:rsidRPr="006D73F4" w:rsidRDefault="006D73F4" w:rsidP="006D73F4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** As of September 21, 2018</w:t>
      </w:r>
    </w:p>
    <w:p w:rsidR="006D73F4" w:rsidRDefault="006D73F4" w:rsidP="0048265E">
      <w:pPr>
        <w:pStyle w:val="xmsonormal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:rsidR="00B84E0B" w:rsidRDefault="00ED49EB" w:rsidP="002901D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Table 5</w:t>
      </w:r>
      <w:r w:rsidR="0080440B">
        <w:rPr>
          <w:color w:val="000000"/>
          <w:sz w:val="22"/>
          <w:szCs w:val="22"/>
        </w:rPr>
        <w:t>:</w:t>
      </w:r>
      <w:r w:rsidR="006346C0">
        <w:rPr>
          <w:color w:val="000000"/>
          <w:sz w:val="22"/>
          <w:szCs w:val="22"/>
        </w:rPr>
        <w:t xml:space="preserve"> </w:t>
      </w:r>
      <w:r w:rsidR="00B84E0B" w:rsidRPr="00B84E0B">
        <w:rPr>
          <w:color w:val="000000"/>
          <w:sz w:val="22"/>
          <w:szCs w:val="22"/>
        </w:rPr>
        <w:t>ETS Major Field Senior Exit Exam in Business</w:t>
      </w:r>
    </w:p>
    <w:p w:rsidR="006D73F4" w:rsidRDefault="006D73F4" w:rsidP="0048265E">
      <w:pPr>
        <w:pStyle w:val="xmsonormal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:rsidR="008C629E" w:rsidRPr="00562945" w:rsidRDefault="008C629E" w:rsidP="008C629E">
      <w:pPr>
        <w:pStyle w:val="xmsonormal"/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2"/>
          <w:szCs w:val="22"/>
        </w:rPr>
      </w:pPr>
      <w:r w:rsidRPr="00562945">
        <w:rPr>
          <w:color w:val="000000"/>
          <w:sz w:val="22"/>
          <w:szCs w:val="22"/>
        </w:rPr>
        <w:t>The McKenna School</w:t>
      </w:r>
      <w:r>
        <w:rPr>
          <w:color w:val="000000"/>
          <w:sz w:val="22"/>
          <w:szCs w:val="22"/>
        </w:rPr>
        <w:t>’</w:t>
      </w:r>
      <w:r w:rsidRPr="00562945">
        <w:rPr>
          <w:color w:val="000000"/>
          <w:sz w:val="22"/>
          <w:szCs w:val="22"/>
        </w:rPr>
        <w:t>s overall rank for 2018-19 (87 exams) academic year placed us in the top 36% compared to 515 accredited colleges and universities of which 1/3 are AACSB accredited.  Historically, from 2014 to 2019, we have placed in the Top 13.3 to 36% of all business schools.  Some of our highlights from 2007 to 2019 are listed below: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Quantitative Business Analysis:  Top 1% in 2007, 2009, 2011, 3.4% in 2010, 7% in 2014, 3% in 2015, 4.3% in 2016, 2.4% in 2017, 8.6% in 2018, and 17.2% in 2019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Finance: Top 3.5% in 2011, 5.4% in 2014, 12.2% in 2017, 13.3% in 2018, and 37.5% in 2019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Accounting: Top 4.7% in 2009, 5.8% in 2011, and 51.9% in 2019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Management: Top 11.5% in 2014, 13.6% in 2016, 9.2% in 2018, and 24.2% in 2019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 xml:space="preserve">Marketing: Top 7.5% in 2016, 8.1% in 2017, and 24.8% in 2019 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Economics: Top 9% in 2011, 15.9% in 2012, 16.4% in 2016, 18.7% in 2018, and 36.7% in 2019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Business Law: Top 15.7% in 2016, 3.1% in 2017, and 7.8% in 2019</w:t>
      </w:r>
    </w:p>
    <w:p w:rsidR="008C629E" w:rsidRPr="00562945" w:rsidRDefault="008C629E" w:rsidP="008C629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0"/>
          <w:szCs w:val="20"/>
        </w:rPr>
      </w:pPr>
      <w:r w:rsidRPr="00562945">
        <w:rPr>
          <w:color w:val="000000"/>
          <w:sz w:val="22"/>
          <w:szCs w:val="22"/>
        </w:rPr>
        <w:t>International Issues: Top 10.8% in 2013, 11.8% in 2017, 14.1% in 2018, and 35.5% in 2019</w:t>
      </w:r>
    </w:p>
    <w:p w:rsidR="0080440B" w:rsidRDefault="0080440B"/>
    <w:p w:rsidR="002901DB" w:rsidRDefault="001C13D4" w:rsidP="002901DB">
      <w:pPr>
        <w:jc w:val="center"/>
      </w:pPr>
      <w:r>
        <w:t>Figure 1</w:t>
      </w:r>
      <w:r w:rsidR="0080440B">
        <w:t>:</w:t>
      </w:r>
      <w:r w:rsidR="0048265E">
        <w:t xml:space="preserve"> McKenna School Gra</w:t>
      </w:r>
      <w:r w:rsidR="00F61FC4">
        <w:t>duate and Undergraduate Student Enrollment</w:t>
      </w:r>
    </w:p>
    <w:p w:rsidR="0048265E" w:rsidRDefault="008C629E" w:rsidP="002901DB">
      <w:pPr>
        <w:jc w:val="center"/>
      </w:pPr>
      <w:r>
        <w:rPr>
          <w:noProof/>
        </w:rPr>
        <w:drawing>
          <wp:inline distT="0" distB="0" distL="0" distR="0" wp14:anchorId="24AC3DF3" wp14:editId="7ED14D58">
            <wp:extent cx="480060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265E" w:rsidRDefault="0048265E"/>
    <w:sectPr w:rsidR="0048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BC" w:rsidRDefault="009F1FBC" w:rsidP="004500F3">
      <w:pPr>
        <w:spacing w:after="0" w:line="240" w:lineRule="auto"/>
      </w:pPr>
      <w:r>
        <w:separator/>
      </w:r>
    </w:p>
  </w:endnote>
  <w:endnote w:type="continuationSeparator" w:id="0">
    <w:p w:rsidR="009F1FBC" w:rsidRDefault="009F1FBC" w:rsidP="0045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BC" w:rsidRDefault="009F1FBC" w:rsidP="004500F3">
      <w:pPr>
        <w:spacing w:after="0" w:line="240" w:lineRule="auto"/>
      </w:pPr>
      <w:r>
        <w:separator/>
      </w:r>
    </w:p>
  </w:footnote>
  <w:footnote w:type="continuationSeparator" w:id="0">
    <w:p w:rsidR="009F1FBC" w:rsidRDefault="009F1FBC" w:rsidP="0045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E30"/>
    <w:multiLevelType w:val="hybridMultilevel"/>
    <w:tmpl w:val="0E565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DBB"/>
    <w:multiLevelType w:val="hybridMultilevel"/>
    <w:tmpl w:val="0B6A4BA4"/>
    <w:lvl w:ilvl="0" w:tplc="16426898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3251"/>
    <w:multiLevelType w:val="hybridMultilevel"/>
    <w:tmpl w:val="9F18E2BC"/>
    <w:lvl w:ilvl="0" w:tplc="40624968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3"/>
    <w:rsid w:val="00174198"/>
    <w:rsid w:val="001C13D4"/>
    <w:rsid w:val="002109E5"/>
    <w:rsid w:val="002901DB"/>
    <w:rsid w:val="00332554"/>
    <w:rsid w:val="004500F3"/>
    <w:rsid w:val="0048265E"/>
    <w:rsid w:val="00577528"/>
    <w:rsid w:val="006346C0"/>
    <w:rsid w:val="006D73F4"/>
    <w:rsid w:val="0080440B"/>
    <w:rsid w:val="008327B9"/>
    <w:rsid w:val="00884112"/>
    <w:rsid w:val="008C629E"/>
    <w:rsid w:val="008F0899"/>
    <w:rsid w:val="009958EF"/>
    <w:rsid w:val="009F1FBC"/>
    <w:rsid w:val="00A40C35"/>
    <w:rsid w:val="00B84E0B"/>
    <w:rsid w:val="00BC337D"/>
    <w:rsid w:val="00CA1C0E"/>
    <w:rsid w:val="00D84E33"/>
    <w:rsid w:val="00ED49EB"/>
    <w:rsid w:val="00F61FC4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8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48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4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40C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0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0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8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48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4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40C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0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0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dy.adams\Desktop\GQ\Enrollment%20Number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8285214348206E-2"/>
          <c:y val="5.1400554097404488E-2"/>
          <c:w val="0.88893044619422557"/>
          <c:h val="0.8557677165354330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present!$V$2</c:f>
              <c:strCache>
                <c:ptCount val="1"/>
                <c:pt idx="0">
                  <c:v>Undergraduates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present!$U$3:$U$22</c:f>
              <c:strCache>
                <c:ptCount val="20"/>
                <c:pt idx="0">
                  <c:v>F00</c:v>
                </c:pt>
                <c:pt idx="1">
                  <c:v>F01</c:v>
                </c:pt>
                <c:pt idx="2">
                  <c:v>F02</c:v>
                </c:pt>
                <c:pt idx="3">
                  <c:v>F03</c:v>
                </c:pt>
                <c:pt idx="4">
                  <c:v>F04</c:v>
                </c:pt>
                <c:pt idx="5">
                  <c:v>F05</c:v>
                </c:pt>
                <c:pt idx="6">
                  <c:v>F06</c:v>
                </c:pt>
                <c:pt idx="7">
                  <c:v>F07</c:v>
                </c:pt>
                <c:pt idx="8">
                  <c:v>F08</c:v>
                </c:pt>
                <c:pt idx="9">
                  <c:v>F09</c:v>
                </c:pt>
                <c:pt idx="10">
                  <c:v>F10</c:v>
                </c:pt>
                <c:pt idx="11">
                  <c:v>F11</c:v>
                </c:pt>
                <c:pt idx="12">
                  <c:v>F12</c:v>
                </c:pt>
                <c:pt idx="13">
                  <c:v>F13</c:v>
                </c:pt>
                <c:pt idx="14">
                  <c:v>F14</c:v>
                </c:pt>
                <c:pt idx="15">
                  <c:v>F15</c:v>
                </c:pt>
                <c:pt idx="16">
                  <c:v>F16</c:v>
                </c:pt>
                <c:pt idx="17">
                  <c:v>F17</c:v>
                </c:pt>
                <c:pt idx="18">
                  <c:v>F18</c:v>
                </c:pt>
                <c:pt idx="19">
                  <c:v>F19</c:v>
                </c:pt>
              </c:strCache>
            </c:strRef>
          </c:cat>
          <c:val>
            <c:numRef>
              <c:f>present!$V$3:$V$22</c:f>
              <c:numCache>
                <c:formatCode>General</c:formatCode>
                <c:ptCount val="20"/>
                <c:pt idx="0">
                  <c:v>249</c:v>
                </c:pt>
                <c:pt idx="1">
                  <c:v>257</c:v>
                </c:pt>
                <c:pt idx="2">
                  <c:v>263</c:v>
                </c:pt>
                <c:pt idx="3">
                  <c:v>307</c:v>
                </c:pt>
                <c:pt idx="4">
                  <c:v>299</c:v>
                </c:pt>
                <c:pt idx="5">
                  <c:v>360</c:v>
                </c:pt>
                <c:pt idx="6">
                  <c:v>421</c:v>
                </c:pt>
                <c:pt idx="7">
                  <c:v>463</c:v>
                </c:pt>
                <c:pt idx="8">
                  <c:v>502</c:v>
                </c:pt>
                <c:pt idx="9">
                  <c:v>476</c:v>
                </c:pt>
                <c:pt idx="10">
                  <c:v>415</c:v>
                </c:pt>
                <c:pt idx="11">
                  <c:v>427</c:v>
                </c:pt>
                <c:pt idx="12">
                  <c:v>396</c:v>
                </c:pt>
                <c:pt idx="13">
                  <c:v>408</c:v>
                </c:pt>
                <c:pt idx="14">
                  <c:v>486</c:v>
                </c:pt>
                <c:pt idx="15">
                  <c:v>525</c:v>
                </c:pt>
                <c:pt idx="16">
                  <c:v>520</c:v>
                </c:pt>
                <c:pt idx="17">
                  <c:v>543</c:v>
                </c:pt>
                <c:pt idx="18">
                  <c:v>521</c:v>
                </c:pt>
                <c:pt idx="19">
                  <c:v>495</c:v>
                </c:pt>
              </c:numCache>
            </c:numRef>
          </c:val>
        </c:ser>
        <c:ser>
          <c:idx val="1"/>
          <c:order val="1"/>
          <c:tx>
            <c:strRef>
              <c:f>present!$W$2</c:f>
              <c:strCache>
                <c:ptCount val="1"/>
                <c:pt idx="0">
                  <c:v>Graduates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present!$U$3:$U$22</c:f>
              <c:strCache>
                <c:ptCount val="20"/>
                <c:pt idx="0">
                  <c:v>F00</c:v>
                </c:pt>
                <c:pt idx="1">
                  <c:v>F01</c:v>
                </c:pt>
                <c:pt idx="2">
                  <c:v>F02</c:v>
                </c:pt>
                <c:pt idx="3">
                  <c:v>F03</c:v>
                </c:pt>
                <c:pt idx="4">
                  <c:v>F04</c:v>
                </c:pt>
                <c:pt idx="5">
                  <c:v>F05</c:v>
                </c:pt>
                <c:pt idx="6">
                  <c:v>F06</c:v>
                </c:pt>
                <c:pt idx="7">
                  <c:v>F07</c:v>
                </c:pt>
                <c:pt idx="8">
                  <c:v>F08</c:v>
                </c:pt>
                <c:pt idx="9">
                  <c:v>F09</c:v>
                </c:pt>
                <c:pt idx="10">
                  <c:v>F10</c:v>
                </c:pt>
                <c:pt idx="11">
                  <c:v>F11</c:v>
                </c:pt>
                <c:pt idx="12">
                  <c:v>F12</c:v>
                </c:pt>
                <c:pt idx="13">
                  <c:v>F13</c:v>
                </c:pt>
                <c:pt idx="14">
                  <c:v>F14</c:v>
                </c:pt>
                <c:pt idx="15">
                  <c:v>F15</c:v>
                </c:pt>
                <c:pt idx="16">
                  <c:v>F16</c:v>
                </c:pt>
                <c:pt idx="17">
                  <c:v>F17</c:v>
                </c:pt>
                <c:pt idx="18">
                  <c:v>F18</c:v>
                </c:pt>
                <c:pt idx="19">
                  <c:v>F19</c:v>
                </c:pt>
              </c:strCache>
            </c:strRef>
          </c:cat>
          <c:val>
            <c:numRef>
              <c:f>present!$W$3:$W$22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14</c:v>
                </c:pt>
                <c:pt idx="4">
                  <c:v>18</c:v>
                </c:pt>
                <c:pt idx="5">
                  <c:v>22</c:v>
                </c:pt>
                <c:pt idx="6">
                  <c:v>27</c:v>
                </c:pt>
                <c:pt idx="7">
                  <c:v>41</c:v>
                </c:pt>
                <c:pt idx="8">
                  <c:v>40</c:v>
                </c:pt>
                <c:pt idx="9">
                  <c:v>29</c:v>
                </c:pt>
                <c:pt idx="10">
                  <c:v>30</c:v>
                </c:pt>
                <c:pt idx="11">
                  <c:v>41</c:v>
                </c:pt>
                <c:pt idx="12">
                  <c:v>35</c:v>
                </c:pt>
                <c:pt idx="13">
                  <c:v>24</c:v>
                </c:pt>
                <c:pt idx="14">
                  <c:v>33</c:v>
                </c:pt>
                <c:pt idx="15">
                  <c:v>32</c:v>
                </c:pt>
                <c:pt idx="16">
                  <c:v>29</c:v>
                </c:pt>
                <c:pt idx="17">
                  <c:v>42</c:v>
                </c:pt>
                <c:pt idx="18">
                  <c:v>42</c:v>
                </c:pt>
                <c:pt idx="19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699584"/>
        <c:axId val="123701504"/>
        <c:axId val="0"/>
      </c:bar3DChart>
      <c:catAx>
        <c:axId val="12369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701504"/>
        <c:crosses val="autoZero"/>
        <c:auto val="1"/>
        <c:lblAlgn val="ctr"/>
        <c:lblOffset val="100"/>
        <c:noMultiLvlLbl val="0"/>
      </c:catAx>
      <c:valAx>
        <c:axId val="123701504"/>
        <c:scaling>
          <c:orientation val="minMax"/>
          <c:max val="6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99584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0309755030621172"/>
          <c:y val="0.10609762321376495"/>
          <c:w val="0.23023578302712161"/>
          <c:h val="0.167434383202099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AE5A-2BC9-46DB-9BA7-D0D148F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Vincent College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Quinlivan, Gary</dc:creator>
  <cp:lastModifiedBy>Adams, Cody</cp:lastModifiedBy>
  <cp:revision>3</cp:revision>
  <dcterms:created xsi:type="dcterms:W3CDTF">2019-02-13T14:05:00Z</dcterms:created>
  <dcterms:modified xsi:type="dcterms:W3CDTF">2019-08-21T15:35:00Z</dcterms:modified>
</cp:coreProperties>
</file>